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4232909</wp:posOffset>
            </wp:positionH>
            <wp:positionV relativeFrom="paragraph">
              <wp:posOffset>85725</wp:posOffset>
            </wp:positionV>
            <wp:extent cx="1829435" cy="960120"/>
            <wp:effectExtent b="0" l="0" r="0" t="0"/>
            <wp:wrapSquare wrapText="bothSides" distB="0" distT="0" distL="114300" distR="114300"/>
            <wp:docPr id="20"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829435" cy="96012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Notificación de Adjudicación</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w:t>
      </w:r>
      <w:bookmarkStart w:colFirst="0" w:colLast="0" w:name="bookmark=id.gjdgxs"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 ${fecha}    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w:t>
      </w:r>
      <w:bookmarkStart w:colFirst="0" w:colLast="0" w:name="bookmark=id.30j0zll"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  ${id_contrato}   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Cliente: </w:t>
      </w:r>
      <w:bookmarkStart w:colFirst="0" w:colLast="0" w:name="bookmark=id.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   ${id_contrato} 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ab/>
        <w:tab/>
        <w:tab/>
        <w:tab/>
        <w:tab/>
        <w:t xml:space="preserve">Grupo:</w:t>
        <w:tab/>
        <w:t xml:space="preserve"> </w:t>
      </w:r>
      <w:bookmarkStart w:colFirst="0" w:colLast="0" w:name="bookmark=id.3znysh7" w:id="3"/>
      <w:bookmarkEnd w:i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     ${id_grupo}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4956" w:right="0" w:firstLine="707.999999999999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Integrante</w:t>
      </w:r>
      <w:bookmarkStart w:colFirst="0" w:colLast="0" w:name="bookmark=id.2et92p0"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${num_integrante}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*FELICIDADES*</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Nos es muy grato informarle que como resultado del evento de adjudicación correspondiente al mes de </w:t>
      </w:r>
      <w:bookmarkStart w:colFirst="0" w:colLast="0" w:name="bookmark=id.tyjcwt" w:id="5"/>
      <w:bookmarkEnd w:id="5"/>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 ${mes_adjudicacion}    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obtuvo su derecho de ser adjudicado con el procedimiento  </w:t>
      </w:r>
      <w:bookmarkStart w:colFirst="0" w:colLast="0" w:name="bookmark=id.3dy6vkm" w:id="6"/>
      <w:bookmarkEnd w:id="6"/>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medio</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(medio de adjudicación).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 recordamos que usted tiene el derecho de rechazar de manera expresa la adjudicación en un período de cinco días hábiles a partir de que reciba esta notificación, debiendo informar por escrito en el domicilio de Edevancre su decisión, ya que, de no efectuarse en el plazo indicado, se tendrá por aceptada.</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breve se pondrá en contacto con usted un especialista en verificación de información para solicitarle una cita y visitarle en su domicilio para continuar el trámite para la autorización de su operación y en su caso, recabar la documentación necesaria tanto de usted como de su aval.</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 importante que tenga en cuenta que el personal que le visitará tiene como única función, si fuera el caso, recabar las documentales para integrar su expediente de adjudicado, así como el cotejo de las mismas, y solo pueden valorarlas en su vigencia e idoneidad dentro del proceso de análisis y aprobación de la operación. Por lo tanto, estas personas no tienen autorización ni capacidad para determinar, opinar o influir, sobre el resultado final de dicho procedimiento.</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conocer con veracidad el avance en la integración de su expediente de adjudicado, favor de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comunicarse con su asesor de la sucursal donde celebró el contrato.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Atentamente:</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Edevancre, S.A de C.V.</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Av. Peñuelas número 19-B local 13, colonia San Pedrito Peñuelas, C.P. 76148, Querétaro, Qro.</w:t>
        <w:br w:type="textWrapping"/>
        <w:t xml:space="preserve">RFC. EDE190530DI0</w:t>
      </w:r>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4431323</wp:posOffset>
            </wp:positionH>
            <wp:positionV relativeFrom="paragraph">
              <wp:posOffset>223716</wp:posOffset>
            </wp:positionV>
            <wp:extent cx="1631315" cy="807720"/>
            <wp:effectExtent b="0" l="0" r="0" t="0"/>
            <wp:wrapSquare wrapText="bothSides" distB="0" distT="0" distL="114300" distR="114300"/>
            <wp:docPr id="2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631315" cy="807720"/>
                    </a:xfrm>
                    <a:prstGeom prst="rect"/>
                    <a:ln/>
                  </pic:spPr>
                </pic:pic>
              </a:graphicData>
            </a:graphic>
          </wp:anchor>
        </w:drawing>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br w:type="textWrapping"/>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AVISO SOBRE PAGOS Y FIRMA DE DOCUMENTACIÓN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A LA ENTREGA DEL VEHÍCULO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Estimado cliente se le informa que deberá pagar la diferencia a su cargo por cambio en el vehículo, así como por cambio de características, accesorios, marca, año, modelo, tipo o color; en el entendido de que si la diferencia fuera a su favor se aplicará a sus últimas cuotas mensuales en sentido inverso.</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igual forma deberá pagar: Prima de seguro, placas, tenencia, permiso (si fuera el caso) y contribuciones vigentes.</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 recibir el vehículo usted y su aval firmarán:</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Pagarés por las cuotas periódicas totales pendientes de pago y por las renovaciones del seguro de robo total y daños del vehículo.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Contrato de prenda</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Endoso de factura.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Nota: Usted recibirá con el vehículo carta factura, manual del usuario, póliza de servicios y garantía del vehículo, así como póliza de seguro de robo total y daños del vehículo.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Atentamente: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EDEVANCRE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Av. Peñuelas número 19-B local 13, coJonia San Pedrito Peñuelas, C.P. 76148, Querétaro, Qro.</w:t>
        <w:br w:type="textWrapping"/>
        <w:t xml:space="preserve">RFC. EDE190530DI0</w:t>
      </w:r>
      <w:r w:rsidDel="00000000" w:rsidR="00000000" w:rsidRPr="00000000">
        <w:br w:type="page"/>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4617085</wp:posOffset>
            </wp:positionH>
            <wp:positionV relativeFrom="paragraph">
              <wp:posOffset>41324</wp:posOffset>
            </wp:positionV>
            <wp:extent cx="1490980" cy="657225"/>
            <wp:effectExtent b="0" l="0" r="0" t="0"/>
            <wp:wrapSquare wrapText="bothSides" distB="0" distT="0" distL="114300" distR="114300"/>
            <wp:docPr id="21"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490980" cy="657225"/>
                    </a:xfrm>
                    <a:prstGeom prst="rect"/>
                    <a:ln/>
                  </pic:spPr>
                </pic:pic>
              </a:graphicData>
            </a:graphic>
          </wp:anchor>
        </w:drawing>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Manual del Consumidor</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943" w:firstLine="0"/>
        <w:jc w:val="both"/>
        <w:rPr>
          <w:rFonts w:ascii="Arial" w:cs="Arial" w:eastAsia="Arial" w:hAnsi="Arial"/>
          <w:b w:val="0"/>
          <w:i w:val="0"/>
          <w:smallCaps w:val="0"/>
          <w:strike w:val="0"/>
          <w:color w:val="000000"/>
          <w:sz w:val="20"/>
          <w:szCs w:val="20"/>
          <w:u w:val="none"/>
          <w:shd w:fill="auto" w:val="clear"/>
          <w:vertAlign w:val="baseline"/>
        </w:rPr>
        <w:sectPr>
          <w:pgSz w:h="15840" w:w="12240" w:orient="portrait"/>
          <w:pgMar w:bottom="1417" w:top="465" w:left="1701" w:right="1701" w:header="708" w:footer="708"/>
          <w:pgNumType w:start="1"/>
        </w:sect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presente documento, es emitido con apego al Reglamento de Sistemas de Comercialización Consistentes en la integración de Grupos de Consumidores y corresponde a una síntesis de los aspectos más relevantes del contrato de adhesión suscrito, que contiene las características y bases primordiales de funcionamiento del sistema de comercialización aquí adquirido.</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¡BIENVENIDO!</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Usted participa en un plan de Autofinanciamiento el cual le permite adquirir un bien mueble nuevo (automóvil) en un plazo no mayor a 60 meses, a partir de que usted firma el contrato de adhesión.</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 términos de la legislación aplicable, las operaciones y obligaciones derivadas de este contrato de adhesión son responsabilidad exclusiva del proveedor y de los consumidores; su cumplimiento de ninguna manera está garantizado ni respaldado económicamente por el Gobierno Federal, ni por persona de derecho público alguno, ni por las instituciones bancarias que reciben los pagos realizados por los consumidores.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Este manual ha sido elaborado, en PRIMER LUGAR, para facilitar a usted la interpretación del sistema que le ofrece EDEVANCRE, S. A DE C.V. (EDEVANCRE); en</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SEGUNDO LUGAR, para orientarlo respecto a los procedimientos que llevamos a cabo para la adjudicación del bien mueble, por lo que le rogamos leer detenidamente su contenido.</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142"/>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DEL CONTRATO Y ANEXOS: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 el contrato de adhesión suscrito, se podrá hacer uso de anexos para incorporar el detalle de los procedimientos, dichos anexos, para todos los efectos, se considerarán parte integral del contrato.</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APORTACIONES: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Cada integrante del grupo aporta mensualmente un porcentaje del valor del bien mueble contratado, de acuerdo con la carátula del contrato de adhesión. Al resultar adjudicado, por medio de alguno de los procedimientos indicados en dicho contrato, su mensualidad se congela con un factor de actualización adicional, según el plazo y el plan contratado previsto en la carátula del propio contrato de adhesión.</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LUGAR Y FECHA DE PAGO: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Los pagos se realizarán en las sucursales de las instituciones bancarias indicadas al momento de la contratación, los tres primeros días hábiles de cada mes; le rogamos exigir, por su seguridad, la ficha de depósito o recibo oficial con la validación de la caja, sello y firma para su validez; o bien con el comprobante de transferencia realizado a la cuenta ya proporcionada. De otra forma no tendrá ningún valor.</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Deberá cubrir a EDEVANCRE, previo a la entrega de su bien mueble, Io siguiente: 1.- Cualquier diferencia a su cargo no cubierta en el pago de cuotas periódicas totales anteriores.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La prima del seguro contra Robo TotaI y Daños del bien mueble asignado con cobertura amplia.</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 Placas, tenencia e investigación de solvencia.</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EXTEMPORANEIDAD EN LOS PAGOS CONVENIDOS:</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32"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 empresa podrá cobrar a los adjudicados que ya han recibido el bien mueble objeto del contrato de adhesión, intereses moratorios establecidos en el contrato de adhesión por cada uno de los pagos que efectúen con posterioridad a la fecha límite en que debieron hacerlo, estos intereses se calcularán sobre el monto de la cuota periódica total atrasada.</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SEGURO DE VIDA, INCAPACIDAD PERMANENTE</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TOTAL, E INVALIDEZ: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 usted se encuentra al corriente en el pago de sus cuotas periódicas totales, gozará de un seguro de vida, incapacidad permanente total e invalidez hasta par el saldo total de su operación, de acuerdo con las disposiciones vigentes en materia de seguros.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SEGURO DE ROBO TOTAL Y DAÑOS: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partir del</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momento de recibir su bien mueble Usted deberá contratar un seguro de Robo Total y Daños con cobertura amplia. EDEVANCRE le ofrecerá 3 opciones distintas de las instituciones de seguros que reflejen las condiciones del mercado, en cuyo caso la empresa puede incorporar las parcialidades del importe de dicho seguro a las cuotas periódicas totales en el plazo que Usted haya elegido. Nos permitimos recordarle que los costos por prima de seguro de Robo Total y Daños son facultad exclusiva de las compañías aseguradoras y dichos importes al momento de la renovación pueden presentar variación (decremento o incremento) en sus costos.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EVENTOS DE ADJUDICACIÓN. - Mensualmente se llevará a cabo un evento de adjudicación en alguna de las sucursales de EDEVANCRE, donde se adjudicarán los bienes muebles por los siguientes procedimientos: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SUBASTA ABIERTA.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 celebrará siempre y cuando el fondo financiero del grupo lo permita ya que EDEVANCRE es una empresa de autofinanciamiento que realiza las subastas abiertas, en las que participan abiertamente los integrantes del grupo que deseen hacerlo, con la condición de que se encuentren al corriente en el pago de sus cuotas periódicas totales. Esto es un beneficio para nuestros clientes, pues ustedes ven a las personas con las que se compite para ganar la subasta.</w:t>
      </w:r>
      <w:r w:rsidDel="00000000" w:rsidR="00000000" w:rsidRPr="00000000">
        <w:br w:type="page"/>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efectos de la subasta, queda establecido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que no se tomarán en cuenta las cuotas periódicas totales normales pagadas con anterioridad, sólo las pagadas por adelantado, es decir, cancelando los últimos pagos. El ganador será el que ofrezca el mayor número de cuotas adelantadas y de inmediato las liquide, recortando su plazo de pago. De existir fondo en el grupo, se procederá a realizar otra subasta similar, de no ser así, se hará</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hasta el siguiente evento de adjudicación.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SUBASTA ADICIONAL.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Si usted no puede ofrecer lo suficiente en la SUBASTA ABIERTA, para ganarla y el fondo del grupo permite una subasta adicional, podría ganarla el que quedó en segundo lugar ya que deberá sostener su oferta y de ahí se continúa con la subasta, hasta que no haya postores que ofrezcan el pago de más cuotas periódicas totales. Si aun así el postor no resultara ganador, tendrá que esperar al siguiente evento de adjudicación ya que, por ser un grupo cerrado, cada mes las ofertas de subasta tienden a ser menores, lo que le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 a Usted mayor oportunidad cada mes que pasa.</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 recordamos que las condiciones para subastar son: Estar al corriente en el pago de las cuotas periódicas totales, ofrecer un mínimo de 10% de estas cuotas como postura inicial, según el plazo contratado y que haya un mínimo de dos personas subastando.</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 ganadores de las subastas deben pagar el importe de su oferta en la institución bancaria designada, dentro</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 los 2 días posteriores a la subasta, con el recibo- depósito que EDEVANCRE, SA DE CV expedirá al momento de ganar, si por alguna razón alguno de los ganadores no paga la subasta ofrecida, deberá pagar una penalización de 2 aportaciones y se le ofrece la adjudicación al cliente que quedó en segundo Iugar. Las cuotas periódicas totales pagadas en subasta se aplicarán a las últimas cuotas en sentido inverso (de las últimas a las primeras). Cabe señalar, que las cuotas periódicas totales adelantadas no incluirán el cobro del seguro de vida, incapacidad permanente total e invalidez.</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ADJUDICACIÓN POR PUNTAJE: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integrante podrá adjudicarse al acumular 13 puntos. Los cuales los podrá obtener a razón de un punto por mes pagado puntualmente mes a mes, de acuerdo con el calendario de pagos y eventos, no tomándose en cuenta la primera cuota periódica total ni las adelantadas (un pago puntual = a un punto).</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ADJUDICACIÓN POR LIQUIDACIÓN.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Ésta se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efectuará cuando el usuario liquide al proveedor el total de la operación contratada o la compañía de seguros liquide el monto de las cuotas periódicas totales subsecuentes del bien mueble. En caso de que el consumidor sufra de incapacidad permanente total, invalidez o fallezca, se adjudicará, por este método, al consumidor o beneficiario en el siguiente evento de adjudicación en el siguiente mes a aquel en que se reciba el pago de la suma asegurada. En este caso la aseguradora pagará el monto a valor vigente del bien mueble.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QUÉ HACER AL SALIR ADJUDICADO: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AI momento de</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resultar adjudicatario deberá firmar la carta de aceptación y solicitar información sobre los documentos que necesita proporcionar para la adjudicación del bien mueble de su elección, llenará un formato para autorización de su adjudicación.</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 LA ENTREGA DEL MUEBLE.-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La entrega del bien mueble se llevará a cabo dentro de los 25 días naturales posteriores al cumplimiento de las garantías y requisitos que estipula el contrato de adhesión, previa adjudicación; de no cumplirse lo anterior por causas imputables al proveedor, éste se obliga a pagar al adjudicatario, como pena convencional, el importe de 3 aportaciones periódicas a valor histórico promedio, dentro de los 10 días naturales siguientes a la fecha en que debió entregarse el bien mueble. Si el consumidor desea una prórroga, deberá solicitarla por escrito a EDEVANCRE, dentro de los 25 días antes mencionados. En todas las adjudicaciones, el monto adjudicado no sufrirá alteraciones y permanecerá según se asentó en el acta de adjudicación levantada por fedatario público en el evento de adjudicación correspondiente. En todos los casos, el monto adjudicado se congelará al momento de la adjudicación.</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 ningún caso EDEVANCRE podrá entregar directa o indirectamente, recursos líquidos al consumidor con motivo de la adjudicación y asignación.</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Cuando el consumidor resulte adjudicado, EDEVANCRE pagará al suministrador el bien mueble inmediatamente al otorgamiento de las garantías y cumplimiento de los requisitos señalados en el contrato de adhesión.</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 LA TERMINACIÓN VOLUNTARIA.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El solicitante podrá, mediante escrito que de manera fehaciente haga a EDEVANCRE, cancelar este contrato de adhesión dentro de los 5 días hábiles siguientes a la contratación, sin responsabilidad alguna. En este caso, EDEVANCRE debe devolverle, dentro de los 25 días naturales siguientes a la notificación, el importe de los pagos realizados, salvo que dentro de este periodo el solicitante participe en una reunión de adjudicación, en cuyo caso no tendrá derecho a devolución y deberá pagar como pena convencional 3 aportaciones a valor histórico promedio, debiendo el cliente presentar sus fichas de depósito originales, para que se autorice la expedición del cheque por el importe que le corresponde.</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 LA RENUNCIA, CANCELACIÓN Y CESIÓN DE</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DERECHOS.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El integrante no adjudicatario que esté al corriente en el pago de sus cuotas periódicas totales, puede ceder los derechos y obligaciones del contrato de adhesión a un tercero. La solicitud debe presentarse por escrito al menos 10 días antes de la siguiente reunión de adjudicación, en ese lapso EDEVANCRE debe contestar la aceptación o rechazo. Para este efecto, el cesionario deberá cubrir la cuota de inscripción vigente al plan, así como los gastos fiscales o de cualquier otra Índole que causen y estén debidamente acreditados. No se</w:t>
      </w:r>
      <w:r w:rsidDel="00000000" w:rsidR="00000000" w:rsidRPr="00000000">
        <w:br w:type="page"/>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aceptarán cesiones de derechos en el caso de adjudicatarios ni de adjudicados.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sectPr>
          <w:type w:val="continuous"/>
          <w:pgSz w:h="15840" w:w="12240" w:orient="portrait"/>
          <w:pgMar w:bottom="461" w:top="745" w:left="923" w:right="774" w:header="708" w:footer="708"/>
          <w:cols w:equalWidth="0" w:num="2">
            <w:col w:space="436" w:w="5053.5"/>
            <w:col w:space="0" w:w="5053.5"/>
          </w:cols>
        </w:sect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COMUNICACIONES. -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Todas las dudas y aclaraciones que los integrantes o adjudicados realicen por escrito o por medios electrónicos disponibles, serán respondidas de la misma forma, en un plazo no mayor a diez días hábiles a partir de la recepción de la misma en las oficinas administrativas; para tal efecto, ponemos a su disposición nuestra dirección de correo electrónico para su comodidad atencionaclientes@edevancre.mx</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 RATIFICAMOS NUESTRO COMPROMISO Y AGRADECIMIENTO POR PREFERIR NUESTROS SERVICIOS, ESTAMOS SEGUROS QUE SERÁN DE SU ENTERA SATISFACCIÓN. GRACIAS.</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50800</wp:posOffset>
                </wp:positionH>
                <wp:positionV relativeFrom="paragraph">
                  <wp:posOffset>12700</wp:posOffset>
                </wp:positionV>
                <wp:extent cx="3289104" cy="2430975"/>
                <wp:effectExtent b="0" l="0" r="0" t="0"/>
                <wp:wrapNone/>
                <wp:docPr id="19" name=""/>
                <a:graphic>
                  <a:graphicData uri="http://schemas.microsoft.com/office/word/2010/wordprocessingShape">
                    <wps:wsp>
                      <wps:cNvSpPr/>
                      <wps:cNvPr id="2" name="Shape 2"/>
                      <wps:spPr>
                        <a:xfrm>
                          <a:off x="3714148" y="2577213"/>
                          <a:ext cx="3263704" cy="2405575"/>
                        </a:xfrm>
                        <a:prstGeom prst="rect">
                          <a:avLst/>
                        </a:prstGeom>
                        <a:solidFill>
                          <a:schemeClr val="lt1"/>
                        </a:solidFill>
                        <a:ln cap="flat" cmpd="sng" w="12700">
                          <a:solidFill>
                            <a:schemeClr val="accent3"/>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50800</wp:posOffset>
                </wp:positionH>
                <wp:positionV relativeFrom="paragraph">
                  <wp:posOffset>12700</wp:posOffset>
                </wp:positionV>
                <wp:extent cx="3289104" cy="2430975"/>
                <wp:effectExtent b="0" l="0" r="0" t="0"/>
                <wp:wrapNone/>
                <wp:docPr id="19"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3289104" cy="2430975"/>
                        </a:xfrm>
                        <a:prstGeom prst="rect"/>
                        <a:ln/>
                      </pic:spPr>
                    </pic:pic>
                  </a:graphicData>
                </a:graphic>
              </wp:anchor>
            </w:drawing>
          </mc:Fallback>
        </mc:AlternateConten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Recibí</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_</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${nombre}_</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_____________________</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440" w:firstLine="0"/>
        <w:jc w:val="center"/>
        <w:rPr>
          <w:rFonts w:ascii="Arial" w:cs="Arial" w:eastAsia="Arial" w:hAnsi="Arial"/>
          <w:b w:val="1"/>
          <w:i w:val="0"/>
          <w:smallCaps w:val="0"/>
          <w:strike w:val="0"/>
          <w:color w:val="000000"/>
          <w:sz w:val="20"/>
          <w:szCs w:val="20"/>
          <w:u w:val="none"/>
          <w:shd w:fill="auto" w:val="clear"/>
          <w:vertAlign w:val="baseline"/>
        </w:rPr>
        <w:sectPr>
          <w:type w:val="continuous"/>
          <w:pgSz w:h="15840" w:w="12240" w:orient="portrait"/>
          <w:pgMar w:bottom="461" w:top="745" w:left="923" w:right="774" w:header="708" w:footer="708"/>
        </w:sect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 y Firma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32" w:firstLine="0"/>
        <w:jc w:val="both"/>
        <w:rPr>
          <w:rFonts w:ascii="Arial" w:cs="Arial" w:eastAsia="Arial" w:hAnsi="Arial"/>
          <w:b w:val="1"/>
          <w:i w:val="0"/>
          <w:smallCaps w:val="0"/>
          <w:strike w:val="0"/>
          <w:color w:val="000000"/>
          <w:sz w:val="18"/>
          <w:szCs w:val="18"/>
          <w:u w:val="none"/>
          <w:shd w:fill="auto" w:val="clear"/>
          <w:vertAlign w:val="baseline"/>
        </w:rPr>
        <w:sectPr>
          <w:type w:val="continuous"/>
          <w:pgSz w:h="15840" w:w="12240" w:orient="portrait"/>
          <w:pgMar w:bottom="1417" w:top="1417" w:left="1701" w:right="1701" w:header="708" w:footer="708"/>
        </w:sect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sectPr>
      <w:type w:val="continuous"/>
      <w:pgSz w:h="15840" w:w="12240" w:orient="portrait"/>
      <w:pgMar w:bottom="720" w:top="72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_trad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eastAsiaTheme="minorEastAsia"/>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bsico" w:customStyle="1">
    <w:name w:val="[Párrafo básico]"/>
    <w:basedOn w:val="Normal"/>
    <w:uiPriority w:val="99"/>
    <w:rsid w:val="00B802F9"/>
    <w:pPr>
      <w:autoSpaceDE w:val="0"/>
      <w:autoSpaceDN w:val="0"/>
      <w:adjustRightInd w:val="0"/>
      <w:spacing w:line="288" w:lineRule="auto"/>
      <w:textAlignment w:val="center"/>
    </w:pPr>
    <w:rPr>
      <w:rFonts w:ascii="MinionPro-Regular" w:cs="MinionPro-Regular" w:hAnsi="MinionPro-Regular" w:eastAsiaTheme="minorHAnsi"/>
      <w:color w:val="000000"/>
      <w:lang w:val="es-ES_tradnl"/>
    </w:rPr>
  </w:style>
  <w:style w:type="paragraph" w:styleId="Ningnestilodeprrafo" w:customStyle="1">
    <w:name w:val="[Ningún estilo de párrafo]"/>
    <w:rsid w:val="0073395F"/>
    <w:pPr>
      <w:autoSpaceDE w:val="0"/>
      <w:autoSpaceDN w:val="0"/>
      <w:adjustRightInd w:val="0"/>
      <w:spacing w:line="288" w:lineRule="auto"/>
      <w:textAlignment w:val="center"/>
    </w:pPr>
    <w:rPr>
      <w:rFonts w:ascii="MinionPro-Regular" w:cs="MinionPro-Regular" w:hAnsi="MinionPro-Regular"/>
      <w:color w:val="000000"/>
      <w:lang w:val="es-ES_tradnl"/>
    </w:rPr>
  </w:style>
  <w:style w:type="table" w:styleId="Tablaconcuadrcula">
    <w:name w:val="Table Grid"/>
    <w:basedOn w:val="Tablanormal"/>
    <w:uiPriority w:val="39"/>
    <w:rsid w:val="00873AD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Fftr5+nzYl95RWSQDErHhAEglg==">CgMxLjAyCWlkLmdqZGd4czIKaWQuMzBqMHpsbDIKaWQuMWZvYjl0ZTIKaWQuM3pueXNoNzIKaWQuMmV0OTJwMDIJaWQudHlqY3d0MgppZC4zZHk2dmttOAByITFNZE5yN1dJZmx0Mm1VQV8wd2RKTm5YbFpjeFBYY3lRdw==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2024-04-22T02:11:00Z</dcterms:created>
  <dc:creator>Microsoft Office User</dc:creator>
</cp:coreProperties>
</file>